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color w:val="auto"/>
          <w:sz w:val="24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数学与信息科学学院学生综合素质测评加分细则</w:t>
      </w:r>
    </w:p>
    <w:p>
      <w:pPr>
        <w:spacing w:line="400" w:lineRule="exact"/>
        <w:jc w:val="left"/>
        <w:rPr>
          <w:rFonts w:hint="eastAsia" w:ascii="ˎ̥" w:hAnsi="ˎ̥" w:cs="宋体"/>
          <w:color w:val="auto"/>
          <w:kern w:val="0"/>
          <w:sz w:val="24"/>
          <w:szCs w:val="32"/>
        </w:rPr>
      </w:pPr>
      <w:r>
        <w:rPr>
          <w:rFonts w:hint="eastAsia"/>
          <w:color w:val="auto"/>
          <w:sz w:val="24"/>
        </w:rPr>
        <w:tab/>
      </w:r>
      <w:r>
        <w:rPr>
          <w:rFonts w:hint="eastAsia" w:ascii="ˎ̥" w:hAnsi="ˎ̥" w:cs="宋体"/>
          <w:color w:val="auto"/>
          <w:kern w:val="0"/>
          <w:sz w:val="24"/>
          <w:szCs w:val="32"/>
        </w:rPr>
        <w:t>为促进素质教育，培养具有创新精神和实践能力的高素质人才，激励学生全方面发展，根据《河北大学本、专科学生综合测评方案（试行）》以及数学与信息科学学院专业特点，现制定综合测评加分细则如下：</w:t>
      </w:r>
    </w:p>
    <w:p>
      <w:pPr>
        <w:spacing w:line="400" w:lineRule="exact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一、测评对象</w:t>
      </w:r>
    </w:p>
    <w:p>
      <w:pPr>
        <w:spacing w:line="400" w:lineRule="exact"/>
        <w:ind w:firstLine="420" w:firstLineChars="175"/>
        <w:rPr>
          <w:rFonts w:hint="eastAsia"/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28"/>
        </w:rPr>
        <w:t>数学与信息科学学院全体本科在校学生。</w:t>
      </w:r>
    </w:p>
    <w:p>
      <w:pPr>
        <w:spacing w:line="400" w:lineRule="exact"/>
        <w:rPr>
          <w:rFonts w:hint="eastAsia"/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32"/>
        </w:rPr>
        <w:t>二、</w:t>
      </w:r>
      <w:r>
        <w:rPr>
          <w:rFonts w:hint="eastAsia"/>
          <w:color w:val="auto"/>
          <w:sz w:val="24"/>
          <w:szCs w:val="28"/>
        </w:rPr>
        <w:t>测评结果适用范围</w:t>
      </w:r>
    </w:p>
    <w:p>
      <w:pPr>
        <w:numPr>
          <w:ilvl w:val="0"/>
          <w:numId w:val="1"/>
        </w:numPr>
        <w:tabs>
          <w:tab w:val="left" w:pos="1060"/>
        </w:tabs>
        <w:spacing w:line="400" w:lineRule="exact"/>
        <w:ind w:left="430" w:hanging="10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28"/>
        </w:rPr>
        <w:t>作为河北大学优秀学生奖学金评定的主要依据。</w:t>
      </w:r>
    </w:p>
    <w:p>
      <w:pPr>
        <w:numPr>
          <w:ilvl w:val="0"/>
          <w:numId w:val="1"/>
        </w:numPr>
        <w:tabs>
          <w:tab w:val="left" w:pos="1060"/>
        </w:tabs>
        <w:spacing w:line="400" w:lineRule="exact"/>
        <w:ind w:left="430" w:hanging="10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28"/>
        </w:rPr>
        <w:t>作为优秀学生干部、优秀毕业生等奖项评选的主要依据。</w:t>
      </w:r>
    </w:p>
    <w:p>
      <w:pPr>
        <w:numPr>
          <w:ilvl w:val="0"/>
          <w:numId w:val="1"/>
        </w:numPr>
        <w:tabs>
          <w:tab w:val="left" w:pos="1060"/>
        </w:tabs>
        <w:spacing w:line="400" w:lineRule="exact"/>
        <w:ind w:left="430" w:hanging="10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28"/>
        </w:rPr>
        <w:t>作为其他奖项评定的主要依据。</w:t>
      </w:r>
    </w:p>
    <w:p>
      <w:pPr>
        <w:spacing w:line="400" w:lineRule="exact"/>
        <w:rPr>
          <w:rFonts w:hint="eastAsia"/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28"/>
        </w:rPr>
        <w:t>三、综合测评加分规则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所有加分项的活动均发生在上一年的9月1日至当年的8月31日。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测评总分=学业成绩+素质加分。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学业成绩为平均学分绩点，由教学秘书提供。</w:t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素质加分=（思想品德评分+</w:t>
      </w:r>
      <w:r>
        <w:rPr>
          <w:rFonts w:hint="eastAsia" w:ascii="宋体" w:hAnsi="宋体"/>
          <w:color w:val="auto"/>
          <w:sz w:val="24"/>
        </w:rPr>
        <w:t>能力素质</w:t>
      </w:r>
      <w:r>
        <w:rPr>
          <w:rFonts w:hint="eastAsia" w:ascii="宋体" w:hAnsi="宋体"/>
          <w:color w:val="auto"/>
          <w:sz w:val="24"/>
          <w:szCs w:val="28"/>
        </w:rPr>
        <w:t>）/10，总分不超过2分。</w:t>
      </w:r>
    </w:p>
    <w:p>
      <w:pPr>
        <w:numPr>
          <w:ilvl w:val="0"/>
          <w:numId w:val="2"/>
        </w:numPr>
        <w:tabs>
          <w:tab w:val="left" w:pos="1080"/>
          <w:tab w:val="left" w:pos="1134"/>
        </w:tabs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思想品德评分（满分5分）</w:t>
      </w:r>
    </w:p>
    <w:p>
      <w:pPr>
        <w:numPr>
          <w:ilvl w:val="0"/>
          <w:numId w:val="3"/>
        </w:numPr>
        <w:tabs>
          <w:tab w:val="left" w:pos="1060"/>
        </w:tabs>
        <w:spacing w:line="360" w:lineRule="auto"/>
        <w:ind w:firstLine="415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在精神文明建设方面有突出表现，受到社会有关部门和校、院表彰者。本学年中荣获三好学生、优秀学生干部、优秀团员、优秀团干部、文体活动积极分子、标兵等称号者，省市级及以上加1分，校级加0.5分，院级加0.3分，本项加分累计不超过2分。</w:t>
      </w:r>
    </w:p>
    <w:p>
      <w:pPr>
        <w:numPr>
          <w:ilvl w:val="0"/>
          <w:numId w:val="3"/>
        </w:numPr>
        <w:tabs>
          <w:tab w:val="left" w:pos="1060"/>
        </w:tabs>
        <w:spacing w:line="360" w:lineRule="auto"/>
        <w:ind w:firstLine="415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积极参加校、院组织的社会实践和志愿活动，每项活动参加者加0.1分，获得社会实践积极分子、优秀志愿者等称号加0.5分。累计不超过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分。</w:t>
      </w:r>
    </w:p>
    <w:p>
      <w:pPr>
        <w:numPr>
          <w:ilvl w:val="0"/>
          <w:numId w:val="3"/>
        </w:numPr>
        <w:tabs>
          <w:tab w:val="left" w:pos="1060"/>
        </w:tabs>
        <w:spacing w:line="360" w:lineRule="auto"/>
        <w:ind w:firstLine="415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卫生成绩：宿舍星级平均分除以3，如全年五星级宿舍成员再加0.3分，本项加分累计不超过2分。（不在公寓住宿的同学</w:t>
      </w:r>
      <w:r>
        <w:rPr>
          <w:rFonts w:hint="eastAsia" w:ascii="宋体" w:hAnsi="宋体"/>
          <w:b/>
          <w:bCs/>
          <w:color w:val="auto"/>
          <w:sz w:val="24"/>
        </w:rPr>
        <w:t>按三星级计算，加1</w:t>
      </w:r>
      <w:r>
        <w:rPr>
          <w:rFonts w:ascii="宋体" w:hAnsi="宋体"/>
          <w:b/>
          <w:bCs/>
          <w:color w:val="auto"/>
          <w:sz w:val="24"/>
        </w:rPr>
        <w:t>分</w:t>
      </w:r>
      <w:r>
        <w:rPr>
          <w:rFonts w:hint="eastAsia" w:ascii="宋体" w:hAnsi="宋体"/>
          <w:color w:val="auto"/>
          <w:sz w:val="24"/>
        </w:rPr>
        <w:t>）</w:t>
      </w:r>
    </w:p>
    <w:p>
      <w:pPr>
        <w:numPr>
          <w:ilvl w:val="0"/>
          <w:numId w:val="3"/>
        </w:numPr>
        <w:tabs>
          <w:tab w:val="left" w:pos="1060"/>
        </w:tabs>
        <w:spacing w:line="360" w:lineRule="auto"/>
        <w:ind w:firstLine="415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受到警告以上处分减1-4分；集体活动必须参加而无故不参加者，每次减0.1分。</w:t>
      </w:r>
    </w:p>
    <w:p>
      <w:pPr>
        <w:numPr>
          <w:ilvl w:val="0"/>
          <w:numId w:val="2"/>
        </w:numPr>
        <w:tabs>
          <w:tab w:val="left" w:pos="1080"/>
          <w:tab w:val="left" w:pos="1134"/>
        </w:tabs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能力素质成绩的计算（满分15分）</w:t>
      </w:r>
    </w:p>
    <w:p>
      <w:pPr>
        <w:numPr>
          <w:ilvl w:val="0"/>
          <w:numId w:val="4"/>
        </w:numPr>
        <w:tabs>
          <w:tab w:val="left" w:pos="1080"/>
        </w:tabs>
        <w:spacing w:line="360" w:lineRule="auto"/>
        <w:ind w:firstLine="431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社会工作</w:t>
      </w:r>
    </w:p>
    <w:p>
      <w:pPr>
        <w:tabs>
          <w:tab w:val="left" w:pos="1080"/>
        </w:tabs>
        <w:spacing w:line="360" w:lineRule="auto"/>
        <w:ind w:firstLine="424" w:firstLineChars="177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工作表现较差的学生干部，不给予加分。兼任多个职务的学生干部只计一个最高分。本项加分不累加，满分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分。</w:t>
      </w:r>
    </w:p>
    <w:tbl>
      <w:tblPr>
        <w:tblStyle w:val="3"/>
        <w:tblW w:w="922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9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校院学生会、团委副书记、社联主席团成员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9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校院学生会部长、院团委部长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9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各班</w:t>
            </w:r>
            <w:r>
              <w:rPr>
                <w:rFonts w:hint="eastAsia" w:ascii="宋体" w:hAnsi="宋体"/>
                <w:color w:val="auto"/>
                <w:szCs w:val="21"/>
              </w:rPr>
              <w:t>班长、团支书、学习委员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49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各班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其他</w:t>
            </w:r>
            <w:r>
              <w:rPr>
                <w:rFonts w:hint="eastAsia" w:ascii="宋体" w:hAnsi="宋体"/>
                <w:color w:val="auto"/>
                <w:szCs w:val="21"/>
              </w:rPr>
              <w:t>学生干部由辅导员根据班干部一年的工作表现打分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794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其他经学院认定为可加分的临时性职务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，如党支部组织委员等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0-</w:t>
            </w:r>
            <w:r>
              <w:rPr>
                <w:rFonts w:ascii="宋体" w:hAnsi="宋体"/>
                <w:color w:val="auto"/>
                <w:szCs w:val="21"/>
              </w:rPr>
              <w:t>1</w:t>
            </w:r>
          </w:p>
        </w:tc>
      </w:tr>
    </w:tbl>
    <w:p>
      <w:pPr>
        <w:numPr>
          <w:ilvl w:val="0"/>
          <w:numId w:val="4"/>
        </w:numPr>
        <w:tabs>
          <w:tab w:val="left" w:pos="1080"/>
        </w:tabs>
        <w:spacing w:line="360" w:lineRule="auto"/>
        <w:ind w:firstLine="431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科技创新</w:t>
      </w:r>
    </w:p>
    <w:p>
      <w:pPr>
        <w:adjustRightInd w:val="0"/>
        <w:snapToGrid w:val="0"/>
        <w:spacing w:line="400" w:lineRule="exact"/>
        <w:ind w:firstLine="420" w:firstLineChars="175"/>
        <w:rPr>
          <w:rFonts w:hint="eastAsia"/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28"/>
        </w:rPr>
        <w:t>同一竞赛、项目、科研成果重复获奖，只计最高级别的分值。</w:t>
      </w:r>
    </w:p>
    <w:p>
      <w:pPr>
        <w:adjustRightInd w:val="0"/>
        <w:snapToGrid w:val="0"/>
        <w:spacing w:line="400" w:lineRule="exact"/>
        <w:ind w:firstLine="422" w:firstLineChars="175"/>
        <w:jc w:val="left"/>
        <w:rPr>
          <w:rFonts w:hint="eastAsia"/>
          <w:color w:val="auto"/>
          <w:sz w:val="24"/>
          <w:szCs w:val="28"/>
        </w:rPr>
      </w:pPr>
      <w:r>
        <w:rPr>
          <w:rFonts w:hint="eastAsia"/>
          <w:b/>
          <w:bCs/>
          <w:color w:val="auto"/>
          <w:sz w:val="24"/>
          <w:szCs w:val="28"/>
        </w:rPr>
        <w:t>竞赛：</w:t>
      </w:r>
      <w:r>
        <w:rPr>
          <w:rFonts w:hint="eastAsia"/>
          <w:color w:val="auto"/>
          <w:sz w:val="24"/>
          <w:szCs w:val="28"/>
        </w:rPr>
        <w:t>需为学院课外学术科技竞赛分级目录认定的竞赛，地区级协会类的比赛原则上不加分。可累加。C目录参照B目录降级加分。学生参加同一竞赛，只计最高级别的分值。</w:t>
      </w:r>
    </w:p>
    <w:p>
      <w:pPr>
        <w:adjustRightInd w:val="0"/>
        <w:snapToGrid w:val="0"/>
        <w:spacing w:line="400" w:lineRule="exact"/>
        <w:ind w:firstLine="422" w:firstLineChars="175"/>
        <w:rPr>
          <w:rFonts w:hint="eastAsia"/>
          <w:color w:val="auto"/>
          <w:sz w:val="24"/>
          <w:szCs w:val="28"/>
        </w:rPr>
      </w:pPr>
      <w:r>
        <w:rPr>
          <w:rFonts w:hint="eastAsia"/>
          <w:b/>
          <w:bCs/>
          <w:color w:val="auto"/>
          <w:sz w:val="24"/>
          <w:szCs w:val="28"/>
        </w:rPr>
        <w:t>论文：</w:t>
      </w:r>
      <w:r>
        <w:rPr>
          <w:rFonts w:hint="eastAsia"/>
          <w:color w:val="auto"/>
          <w:sz w:val="24"/>
          <w:szCs w:val="28"/>
        </w:rPr>
        <w:t>在有正式刊号的出版物上发表学术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</w:rPr>
        <w:t>论文。专利、论文等均应以河北大学为第一署名单位。期刊级别按照河北大学有关文件执行。一般期刊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只计算3篇。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</w:rPr>
        <w:t>期刊需提供期刊原件、官方网站显示说明、期刊光盘或其他已发表证明。只提供录用通知的不予加</w:t>
      </w:r>
      <w:r>
        <w:rPr>
          <w:rFonts w:hint="eastAsia"/>
          <w:color w:val="auto"/>
          <w:sz w:val="24"/>
        </w:rPr>
        <w:t>分。</w:t>
      </w:r>
    </w:p>
    <w:p>
      <w:pPr>
        <w:tabs>
          <w:tab w:val="left" w:pos="1080"/>
        </w:tabs>
        <w:spacing w:line="360" w:lineRule="auto"/>
        <w:ind w:firstLine="422" w:firstLineChars="175"/>
        <w:rPr>
          <w:rFonts w:hint="eastAsia"/>
          <w:color w:val="auto"/>
          <w:sz w:val="24"/>
          <w:szCs w:val="28"/>
        </w:rPr>
      </w:pPr>
      <w:r>
        <w:rPr>
          <w:rFonts w:hint="eastAsia"/>
          <w:b/>
          <w:bCs/>
          <w:color w:val="auto"/>
          <w:sz w:val="24"/>
          <w:szCs w:val="28"/>
        </w:rPr>
        <w:t>科研立项：</w:t>
      </w:r>
      <w:r>
        <w:rPr>
          <w:rFonts w:hint="eastAsia"/>
          <w:color w:val="auto"/>
          <w:sz w:val="24"/>
          <w:szCs w:val="28"/>
        </w:rPr>
        <w:t>所有立项按照结项书为准，不结项的不加分。项目进行超过一年的，只允许加分使用1次。</w:t>
      </w:r>
    </w:p>
    <w:p>
      <w:pPr>
        <w:tabs>
          <w:tab w:val="left" w:pos="1080"/>
        </w:tabs>
        <w:spacing w:line="360" w:lineRule="auto"/>
        <w:ind w:firstLine="424" w:firstLineChars="177"/>
        <w:rPr>
          <w:rFonts w:hint="eastAsia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</w:rPr>
        <w:t>本项加分累计不超过7分。</w:t>
      </w:r>
    </w:p>
    <w:tbl>
      <w:tblPr>
        <w:tblStyle w:val="3"/>
        <w:tblW w:w="8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54"/>
        <w:gridCol w:w="2610"/>
        <w:gridCol w:w="822"/>
        <w:gridCol w:w="799"/>
        <w:gridCol w:w="828"/>
        <w:gridCol w:w="84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4070" w:type="dxa"/>
            <w:gridSpan w:val="3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科技创新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第1名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第2名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第3名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第4名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第5-8名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科技竞赛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（3）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A类竞赛获奖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（2）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全国（国际）一等奖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1.5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0.5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pacing w:line="280" w:lineRule="exact"/>
              <w:ind w:firstLine="2" w:firstLineChars="1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vMerge w:val="continue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全国（国际）二等奖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1.5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0.5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0.3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pacing w:line="280" w:lineRule="exact"/>
              <w:ind w:firstLine="2" w:firstLineChars="1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vMerge w:val="continue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全国（国际）三等奖</w:t>
            </w:r>
          </w:p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省级特等奖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0. 4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widowControl/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0.2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pacing w:line="280" w:lineRule="exact"/>
              <w:ind w:firstLine="2" w:firstLineChars="1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vMerge w:val="continue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省级一等奖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0.8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0.5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0. 3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0.2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pacing w:line="280" w:lineRule="exact"/>
              <w:ind w:firstLine="2" w:firstLineChars="1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vMerge w:val="continue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省级二等奖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0.5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0.3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0.2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pacing w:line="280" w:lineRule="exact"/>
              <w:ind w:firstLine="2" w:firstLineChars="1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vMerge w:val="continue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省级三等奖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0.3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0.2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0.05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pacing w:line="280" w:lineRule="exact"/>
              <w:ind w:firstLine="2" w:firstLineChars="1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vMerge w:val="continue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校（厅局）级一等奖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0.2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0.05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pacing w:line="280" w:lineRule="exact"/>
              <w:ind w:firstLine="2" w:firstLineChars="1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vMerge w:val="continue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校（厅局）级二、三等奖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0.05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B类竞赛获奖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（1.5）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全国（国际）一等奖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1.5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0.5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0.3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pacing w:line="280" w:lineRule="exact"/>
              <w:ind w:firstLine="371" w:firstLineChars="177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vMerge w:val="continue"/>
            <w:noWrap w:val="0"/>
            <w:vAlign w:val="top"/>
          </w:tcPr>
          <w:p>
            <w:pPr>
              <w:spacing w:line="280" w:lineRule="exact"/>
              <w:ind w:firstLine="371" w:firstLineChars="177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全国（国际）二等奖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0. 4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widowControl/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0.2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pacing w:line="280" w:lineRule="exact"/>
              <w:ind w:firstLine="371" w:firstLineChars="177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vMerge w:val="continue"/>
            <w:noWrap w:val="0"/>
            <w:vAlign w:val="top"/>
          </w:tcPr>
          <w:p>
            <w:pPr>
              <w:spacing w:line="280" w:lineRule="exact"/>
              <w:ind w:firstLine="371" w:firstLineChars="177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全国（国际）三等奖</w:t>
            </w:r>
          </w:p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省级特等奖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0.8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0.5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0. 3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0.2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pacing w:line="280" w:lineRule="exact"/>
              <w:ind w:firstLine="371" w:firstLineChars="177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vMerge w:val="continue"/>
            <w:noWrap w:val="0"/>
            <w:vAlign w:val="top"/>
          </w:tcPr>
          <w:p>
            <w:pPr>
              <w:spacing w:line="280" w:lineRule="exact"/>
              <w:ind w:firstLine="371" w:firstLineChars="177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省级一等奖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0.5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0.3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0.2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pacing w:line="280" w:lineRule="exact"/>
              <w:ind w:firstLine="371" w:firstLineChars="177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vMerge w:val="continue"/>
            <w:noWrap w:val="0"/>
            <w:vAlign w:val="top"/>
          </w:tcPr>
          <w:p>
            <w:pPr>
              <w:spacing w:line="280" w:lineRule="exact"/>
              <w:ind w:firstLine="371" w:firstLineChars="177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省级二等奖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0.3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0.2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0.05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pacing w:line="280" w:lineRule="exact"/>
              <w:ind w:firstLine="371" w:firstLineChars="177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vMerge w:val="continue"/>
            <w:noWrap w:val="0"/>
            <w:vAlign w:val="top"/>
          </w:tcPr>
          <w:p>
            <w:pPr>
              <w:spacing w:line="280" w:lineRule="exact"/>
              <w:ind w:firstLine="371" w:firstLineChars="177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省级三等奖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0.2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0.05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pacing w:line="280" w:lineRule="exact"/>
              <w:ind w:firstLine="371" w:firstLineChars="177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vMerge w:val="continue"/>
            <w:noWrap w:val="0"/>
            <w:vAlign w:val="top"/>
          </w:tcPr>
          <w:p>
            <w:pPr>
              <w:spacing w:line="280" w:lineRule="exact"/>
              <w:ind w:firstLine="371" w:firstLineChars="177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校（厅局）级一等奖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0.05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pacing w:line="280" w:lineRule="exact"/>
              <w:ind w:firstLine="371" w:firstLineChars="177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vMerge w:val="continue"/>
            <w:noWrap w:val="0"/>
            <w:vAlign w:val="top"/>
          </w:tcPr>
          <w:p>
            <w:pPr>
              <w:spacing w:line="280" w:lineRule="exact"/>
              <w:ind w:firstLine="371" w:firstLineChars="177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校（厅局）级二、三等奖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0.05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各类公开发表专业学术论文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（1）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一类期刊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0.8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0.6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0.3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二类期刊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0.8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0.6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0.3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核心期刊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0.6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0.3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一般期刊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(限3篇)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创新创业训练项目（1）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国家级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0.8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0.6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0.4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0.7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0.5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0.3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校级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0.4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0.2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科研课题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（1）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国家级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0.8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0.6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0.7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0.5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0.3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市级、校级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0.4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0.2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0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407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取得发明专利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（1）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0.8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0.6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numPr>
          <w:ilvl w:val="0"/>
          <w:numId w:val="4"/>
        </w:numPr>
        <w:tabs>
          <w:tab w:val="left" w:pos="1080"/>
        </w:tabs>
        <w:spacing w:line="360" w:lineRule="auto"/>
        <w:ind w:firstLine="431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文化艺术</w:t>
      </w:r>
    </w:p>
    <w:p>
      <w:pPr>
        <w:tabs>
          <w:tab w:val="left" w:pos="855"/>
        </w:tabs>
        <w:spacing w:line="360" w:lineRule="auto"/>
        <w:ind w:firstLine="424" w:firstLineChars="177"/>
        <w:rPr>
          <w:rFonts w:hint="eastAsia" w:ascii="宋体" w:hAnsi="宋体"/>
          <w:color w:val="auto"/>
          <w:sz w:val="24"/>
        </w:rPr>
      </w:pPr>
      <w:r>
        <w:rPr>
          <w:rFonts w:hint="eastAsia"/>
          <w:color w:val="auto"/>
          <w:sz w:val="24"/>
          <w:szCs w:val="28"/>
        </w:rPr>
        <w:t>经团委认定代表班级参加学院组织，代表学院</w:t>
      </w:r>
      <w:r>
        <w:rPr>
          <w:rFonts w:hint="eastAsia" w:ascii="宋体" w:hAnsi="宋体"/>
          <w:color w:val="auto"/>
          <w:sz w:val="24"/>
        </w:rPr>
        <w:t>参加学校组织的各种重大比赛，（含运动会入场式方队），加分见下表；</w:t>
      </w:r>
    </w:p>
    <w:tbl>
      <w:tblPr>
        <w:tblStyle w:val="3"/>
        <w:tblW w:w="6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512"/>
        <w:gridCol w:w="1298"/>
        <w:gridCol w:w="1087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1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文化艺术类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一等奖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二等奖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三等奖</w:t>
            </w:r>
          </w:p>
        </w:tc>
        <w:tc>
          <w:tcPr>
            <w:tcW w:w="844" w:type="dxa"/>
            <w:vMerge w:val="restart"/>
            <w:noWrap w:val="0"/>
            <w:vAlign w:val="center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1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体育竞技类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1-3名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4-6名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7-8名</w:t>
            </w:r>
          </w:p>
        </w:tc>
        <w:tc>
          <w:tcPr>
            <w:tcW w:w="844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全国（国际）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1.5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0.8</w:t>
            </w:r>
          </w:p>
        </w:tc>
        <w:tc>
          <w:tcPr>
            <w:tcW w:w="844" w:type="dxa"/>
            <w:vMerge w:val="restart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省级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0.8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0.6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0.4</w:t>
            </w:r>
          </w:p>
        </w:tc>
        <w:tc>
          <w:tcPr>
            <w:tcW w:w="844" w:type="dxa"/>
            <w:vMerge w:val="continue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校级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0.6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0.4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0.3</w:t>
            </w:r>
          </w:p>
        </w:tc>
        <w:tc>
          <w:tcPr>
            <w:tcW w:w="844" w:type="dxa"/>
            <w:vMerge w:val="continue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pacing w:line="280" w:lineRule="exact"/>
              <w:ind w:firstLine="63" w:firstLineChars="3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院级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0.3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0.2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0.1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280" w:lineRule="exact"/>
              <w:ind w:firstLine="2" w:firstLineChars="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</w:p>
        </w:tc>
      </w:tr>
    </w:tbl>
    <w:p>
      <w:pPr>
        <w:tabs>
          <w:tab w:val="left" w:pos="855"/>
        </w:tabs>
        <w:spacing w:line="360" w:lineRule="auto"/>
        <w:ind w:left="42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本项加分累计不超过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分。</w:t>
      </w:r>
    </w:p>
    <w:p>
      <w:pPr>
        <w:numPr>
          <w:ilvl w:val="0"/>
          <w:numId w:val="4"/>
        </w:numPr>
        <w:tabs>
          <w:tab w:val="left" w:pos="1080"/>
        </w:tabs>
        <w:spacing w:line="360" w:lineRule="auto"/>
        <w:ind w:firstLine="431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通过英语四六级</w:t>
      </w:r>
    </w:p>
    <w:p>
      <w:pPr>
        <w:tabs>
          <w:tab w:val="left" w:pos="855"/>
        </w:tabs>
        <w:spacing w:line="360" w:lineRule="auto"/>
        <w:ind w:firstLine="424" w:firstLineChars="177"/>
        <w:rPr>
          <w:rFonts w:hint="eastAsia"/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28"/>
        </w:rPr>
        <w:t>第一学年通过四级1.5分；第二学年通过四级加1分，第三学年通过四级加0.5分。</w:t>
      </w:r>
    </w:p>
    <w:p>
      <w:pPr>
        <w:tabs>
          <w:tab w:val="left" w:pos="855"/>
        </w:tabs>
        <w:spacing w:line="360" w:lineRule="auto"/>
        <w:ind w:firstLine="424" w:firstLineChars="17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szCs w:val="28"/>
        </w:rPr>
        <w:t>第二学年通过英语六级加2，第三学年通过英语六级加1</w:t>
      </w:r>
      <w:r>
        <w:rPr>
          <w:color w:val="auto"/>
          <w:sz w:val="24"/>
        </w:rPr>
        <w:t>分</w:t>
      </w:r>
      <w:r>
        <w:rPr>
          <w:rFonts w:hint="eastAsia"/>
          <w:color w:val="auto"/>
          <w:sz w:val="24"/>
        </w:rPr>
        <w:t>。</w:t>
      </w:r>
    </w:p>
    <w:p>
      <w:pPr>
        <w:tabs>
          <w:tab w:val="left" w:pos="855"/>
        </w:tabs>
        <w:spacing w:line="360" w:lineRule="auto"/>
        <w:ind w:firstLine="424" w:firstLineChars="177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本项加分累计不超过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分。</w:t>
      </w:r>
    </w:p>
    <w:p>
      <w:pPr>
        <w:widowControl/>
        <w:numPr>
          <w:ilvl w:val="0"/>
          <w:numId w:val="4"/>
        </w:numPr>
        <w:tabs>
          <w:tab w:val="left" w:pos="1080"/>
        </w:tabs>
        <w:spacing w:line="360" w:lineRule="auto"/>
        <w:ind w:firstLine="431"/>
        <w:jc w:val="left"/>
        <w:rPr>
          <w:rFonts w:hint="eastAsia"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细则未涉及之项，学生</w:t>
      </w:r>
      <w:r>
        <w:rPr>
          <w:rFonts w:hint="eastAsia" w:ascii="宋体" w:hAnsi="宋体"/>
          <w:color w:val="auto"/>
          <w:sz w:val="24"/>
        </w:rPr>
        <w:t>确</w:t>
      </w:r>
      <w:r>
        <w:rPr>
          <w:rFonts w:ascii="宋体" w:hAnsi="宋体"/>
          <w:color w:val="auto"/>
          <w:sz w:val="24"/>
        </w:rPr>
        <w:t>有其他特殊贡献、特殊荣誉的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ascii="宋体" w:hAnsi="宋体"/>
          <w:color w:val="auto"/>
          <w:sz w:val="24"/>
        </w:rPr>
        <w:t>可由本人提供相关支撑材料，上报</w:t>
      </w:r>
      <w:r>
        <w:rPr>
          <w:rFonts w:hint="eastAsia" w:ascii="宋体" w:hAnsi="宋体"/>
          <w:color w:val="auto"/>
          <w:sz w:val="24"/>
        </w:rPr>
        <w:t>学院学生工作领导小组认定，加分最多不超过2分。</w:t>
      </w:r>
    </w:p>
    <w:p>
      <w:pPr>
        <w:spacing w:line="400" w:lineRule="exact"/>
        <w:jc w:val="left"/>
        <w:rPr>
          <w:rFonts w:hint="eastAsia"/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28"/>
        </w:rPr>
        <w:t>四、有如下情节之一者，取消当年评优评奖资格：</w:t>
      </w:r>
    </w:p>
    <w:p>
      <w:pPr>
        <w:spacing w:line="400" w:lineRule="exact"/>
        <w:ind w:firstLine="420" w:firstLineChars="175"/>
        <w:rPr>
          <w:rFonts w:hint="eastAsia"/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28"/>
        </w:rPr>
        <w:t>1、出现违纪行为或其他违反学校评奖评优规定的行为。</w:t>
      </w:r>
    </w:p>
    <w:p>
      <w:pPr>
        <w:spacing w:line="400" w:lineRule="exact"/>
        <w:ind w:firstLine="420" w:firstLineChars="175"/>
        <w:rPr>
          <w:rFonts w:hint="eastAsia"/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28"/>
        </w:rPr>
        <w:t>2、本学年成绩有不合格的科目（或者有未通过的科目）。</w:t>
      </w:r>
    </w:p>
    <w:p>
      <w:pPr>
        <w:tabs>
          <w:tab w:val="left" w:pos="4868"/>
        </w:tabs>
        <w:spacing w:line="400" w:lineRule="exact"/>
        <w:ind w:left="420" w:hanging="420" w:hangingChars="175"/>
        <w:jc w:val="left"/>
        <w:rPr>
          <w:rFonts w:hint="eastAsia"/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28"/>
        </w:rPr>
        <w:t>五、本办法自颁布之日起开始执行，由河北大学数学与信息科学学院学生工作领导小组负责解释。</w:t>
      </w:r>
    </w:p>
    <w:p>
      <w:pPr>
        <w:tabs>
          <w:tab w:val="left" w:pos="4868"/>
        </w:tabs>
        <w:spacing w:line="400" w:lineRule="exact"/>
        <w:rPr>
          <w:rFonts w:hint="eastAsia"/>
          <w:color w:val="auto"/>
          <w:sz w:val="24"/>
          <w:szCs w:val="28"/>
        </w:rPr>
      </w:pPr>
    </w:p>
    <w:p>
      <w:pPr>
        <w:tabs>
          <w:tab w:val="left" w:pos="4868"/>
        </w:tabs>
        <w:spacing w:line="400" w:lineRule="exact"/>
        <w:ind w:left="210" w:leftChars="100"/>
        <w:jc w:val="right"/>
        <w:rPr>
          <w:rFonts w:hint="eastAsia"/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28"/>
        </w:rPr>
        <w:t>数学与信息科学学院</w:t>
      </w:r>
    </w:p>
    <w:p>
      <w:pPr>
        <w:tabs>
          <w:tab w:val="left" w:pos="4868"/>
        </w:tabs>
        <w:spacing w:line="400" w:lineRule="exact"/>
        <w:ind w:left="210" w:leftChars="100"/>
        <w:jc w:val="right"/>
        <w:rPr>
          <w:rFonts w:hint="eastAsia"/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28"/>
        </w:rPr>
        <w:t>2021年</w:t>
      </w:r>
      <w:r>
        <w:rPr>
          <w:rFonts w:hint="eastAsia"/>
          <w:color w:val="auto"/>
          <w:sz w:val="24"/>
          <w:szCs w:val="28"/>
          <w:lang w:val="en-US" w:eastAsia="zh-CN"/>
        </w:rPr>
        <w:t>4</w:t>
      </w:r>
      <w:r>
        <w:rPr>
          <w:rFonts w:hint="eastAsia"/>
          <w:color w:val="auto"/>
          <w:sz w:val="24"/>
          <w:szCs w:val="28"/>
        </w:rPr>
        <w:t>月1</w:t>
      </w:r>
      <w:r>
        <w:rPr>
          <w:rFonts w:hint="eastAsia"/>
          <w:color w:val="auto"/>
          <w:sz w:val="24"/>
          <w:szCs w:val="28"/>
          <w:lang w:val="en-US" w:eastAsia="zh-CN"/>
        </w:rPr>
        <w:t>2</w:t>
      </w:r>
      <w:r>
        <w:rPr>
          <w:rFonts w:hint="eastAsia"/>
          <w:color w:val="auto"/>
          <w:sz w:val="24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CA18E7"/>
    <w:multiLevelType w:val="singleLevel"/>
    <w:tmpl w:val="EDCA18E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2EDE370D"/>
    <w:multiLevelType w:val="multilevel"/>
    <w:tmpl w:val="2EDE37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4D8B55"/>
    <w:multiLevelType w:val="singleLevel"/>
    <w:tmpl w:val="344D8B5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64872ADC"/>
    <w:multiLevelType w:val="singleLevel"/>
    <w:tmpl w:val="64872A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55E"/>
    <w:rsid w:val="5214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2021-05-05T00:52:00Z</dcterms:created>
  <dc:creator>可嘉</dc:creator>
  <cp:lastModifiedBy>可嘉</cp:lastModifiedBy>
  <dcterms:modified xsi:type="dcterms:W3CDTF">2021-05-05T00:54:59Z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9BC527FC9C7C41B7A4179E44B125529C</vt:lpwstr>
  </property>
</Properties>
</file>